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sz w:val="40"/>
        </w:rPr>
        <w:t>Universal Childcare Substantiation</w:t>
      </w:r>
    </w:p>
    <w:p>
      <w:pPr>
        <w:jc w:val="center"/>
      </w:pPr>
      <w:r>
        <w:rPr>
          <w:i/>
          <w:sz w:val="26"/>
        </w:rPr>
        <w:t>Pillar Five: Architecture, Funding, Delivery, Transition</w:t>
      </w:r>
    </w:p>
    <w:p>
      <w:pPr>
        <w:jc w:val="center"/>
      </w:pPr>
      <w:r>
        <w:rPr>
          <w:i/>
          <w:sz w:val="18"/>
        </w:rPr>
        <w:t>v1.0  ·  Created May 21, 2026 for v3.7.211 (Pillar 5 dedicated substantiation document; closes the SITE-36 Pillar 5 review Finding 1 from OIR Section 305; produced under Tier-3 deferred-findings resolution series)  ·  Jason Robertson  ·  Ohio  ·  2026 · content last changed v3.8.376</w:t>
      </w:r>
    </w:p>
    <w:p/>
    <w:p>
      <w:r>
        <w:t>Sources Baseline. Numerical claims in this document derive from the canonical sources cataloged in 05_Sources_And_Derivation_Convention.docx, including: Bureau of Labor Statistics Occupational Employment and Wage Statistics for child care worker wage distributions; Department of Health and Human Services Administration for Children and Families CCDF program data; Internal Revenue Service Statistics of Income Child Tax Credit and Child and Dependent Care Credit utilization data; National Center for Education Statistics Early Childhood Program Participation data; Department of Labor Workforce Statistics on the early childhood education workforce; Census Bureau Survey of Income and Program Participation data on childcare arrangements; and international comparisons from OECD's Family Database, Quebec's Ministère de la Famille program statistics, and Sweden's förskola program data.</w:t>
      </w:r>
    </w:p>
    <w:p>
      <w:pPr/>
      <w:r>
        <w:rPr>
          <w:b/>
        </w:rPr>
        <w:t xml:space="preserve">Activates After (Rollout Dependency). </w:t>
      </w:r>
      <w:r>
        <w:t>Under the platform's phased, gated rollout (Architectural Decision Principles, v3.7.558), this pillar belongs to the core universal-coverage phase. It is sequenced to activate after the funding base (Pillar One, the Community Contribution Plan) and the sovereign investment fund's initial capitalization are demonstrably stable, rather than switching on simultaneously with every other pillar. The specific stability gates that would authorize the move from the funding phase into coverage are not asserted here; they require macroeconomic and actuarial calibration and are tracked as the open question GUARD-1 in the Tracked Issues Registry. This sequencing is a design proposal the author can reorder, not a fixed schedule, and the ordering among the coverage pillars may be revised as that calibration matures.</w:t>
      </w:r>
    </w:p>
    <w:p>
      <w:pPr>
        <w:pStyle w:val="Heading1"/>
      </w:pPr>
      <w:r>
        <w:t>Document Genesis and Relationship to Prior Pillar 5 Treatment</w:t>
      </w:r>
    </w:p>
    <w:p>
      <w:r>
        <w:t>This document is the dedicated white-paper-depth substantiation for Pillar 5 (Universal Childcare), produced in v3.7.211 to close the SITE-36 Pillar 5 review's principal finding (v3.7.199 OIR Section 305 Finding 1, which identified that Pillar 5 had concept-analysis-level treatment only). The prior Pillar 5 treatment lives in the Adjacent Pillars Under Development document (02_Vision_and_Communication/02_Adjacent_Pillars_Under_Development.docx); that treatment is approximately fifteen paragraphs and a small number of architectural commitments. This substantiation document extends the prior treatment with the detail expected at the same depth as the Pillar 4 (Healthcare), Pillar 6 (Mental Health), Pillar 9 (Universal Long-Term Care), Pillar 10 (Federal Housing Investment), Pillar 11 (Climate Architecture), and Pillar 12 (Immigration Architecture) substantiation documents.</w:t>
      </w:r>
    </w:p>
    <w:p>
      <w:r>
        <w:t>The prior concept-analysis-level treatment remains the canonical short statement of Pillar 5's architectural intent; this substantiation document is the canonical long-form expansion. Where the two documents discuss the same parameters, the values are intentionally aligned (1.3 percent combined payroll contribution split as 0.8 percent employer and 0.5 percent employee [CORRECTED v3.8.268: this alignment paragraph carried 1.0 percent split 0.6/0.4, which is the LONG-TERM CARE split, contradicting this document's own canonical funding section. 1.3 percent (0.8/0.5) is confirmed by five witnesses: the master vision document, the Pillar 8 paper, the Adjacent Pillars paper, both calculators and all three decks], approximately one-hundred-eighty-billion-dollar annual cost at maturity, sliding-scale fee structure tied to household income, Quebec-style model as architectural reference). Where the substantiation document extends beyond the concept-analysis treatment, it does so by working out detail rather than by changing architecture.</w:t>
      </w:r>
    </w:p>
    <w:p>
      <w:pPr>
        <w:pStyle w:val="Heading1"/>
      </w:pPr>
      <w:r>
        <w:t>Historical Precedent: The Lanham Act Childcare Program</w:t>
      </w:r>
    </w:p>
    <w:p>
      <w:pPr/>
      <w:r>
        <w:t>The architectural logic underlying Universal Childcare has direct American precedent in the Lanham Act childcare program of 1942–1946, which provided federally-funded childcare to approximately 600,000 children of working mothers during World War II. The program operated about 3,000 facilities across all 48 states, charged parents a minimal sliding-scale fee of roughly fifty cents per child per day, and was funded through federal appropriations totaling approximately $52 million (equivalent to about $900 million in 2024 dollars). The program served children from infancy through age twelve and offered hours that matched industrial work schedules including night and weekend coverage. Contemporary studies found that participating mothers reported higher workforce attachment and that participating children showed no developmental disadvantages compared to home-cared peers.</w:t>
      </w:r>
    </w:p>
    <w:p>
      <w:pPr/>
      <w:r>
        <w:t>The Lanham Act program was dismantled in 1946 not because it failed but because postwar policy explicitly returned women to the home and the political constituency for federal childcare collapsed. Universal Childcare extends and universalizes the Lanham model — but as permanent infrastructure rather than wartime emergency measure, with eligibility tied to citizenship rather than maternal war-industry employment, and at the cost-coverage level required to function as actual universal coverage rather than a fee subsidy. The platform stands in the Lanham tradition while removing the wartime contingency that limited the original program's life.</w:t>
      </w:r>
    </w:p>
    <w:p>
      <w:pPr>
        <w:pStyle w:val="Heading1"/>
      </w:pPr>
      <w:r>
        <w:t>Why Universal Childcare Is the Fifth Pillar</w:t>
      </w:r>
    </w:p>
    <w:p>
      <w:r>
        <w:t>The platform's first four pillars address retirement security (Community Contribution Plan), wage architecture (Empirical Wage Floors), education access (Sovereign Education Fund), and healthcare access (Universal Healthcare Access). The fifth pillar addresses childcare. Childcare sits structurally beside the four prior pillars because it shares their characteristics: it is a population-scale need rather than a niche one (approximately fifteen million U.S. children under five live in households where all available parents work, with additional school-age children needing aftercare); it is partially served by existing federal, state, and tax-system programs but inadequately so (the Child Care and Development Fund serves only one-in-six of eligible-by-income children; the Child and Dependent Care Credit is non-refundable and capped at amounts that have not been adjusted for inflation in two decades); and the access patchwork imposes substantial drag on household economic capacity (out-of-pocket childcare cost has reached or exceeded mortgage cost in many metropolitan areas; the work-disruption cost when childcare arrangements fail is borne disproportionately by women, with measurable career and lifetime-earnings effects).</w:t>
      </w:r>
    </w:p>
    <w:p>
      <w:r>
        <w:t>The platform's case for elevating childcare to pillar status: universal access to high-quality early-childhood programs produces documented outcomes in subsequent educational attainment, labor-force participation of parents (particularly mothers), and reduction in long-run income inequality. The empirical evidence base is strongest for high-quality preschool (Perry Preschool Project, Abecedarian Project, North Carolina More-at-Four, Boston Pre-K, Tulsa Universal Pre-K — long-run randomized or quasi-randomized evidence available from the older programs); the evidence is also positive for high-quality infant and toddler care (Quebec province-wide implementation since 1997 producing measurable maternal employment increases; Sweden's century-long program operating at near-universal access; Norway's expansion from limited to near-universal access starting in 2003).</w:t>
      </w:r>
    </w:p>
    <w:p>
      <w:pPr>
        <w:pStyle w:val="Heading1"/>
      </w:pPr>
      <w:r>
        <w:t>The Pillar Five Architecture</w:t>
      </w:r>
    </w:p>
    <w:p>
      <w:pPr>
        <w:pStyle w:val="Heading2"/>
      </w:pPr>
      <w:r>
        <w:t>Funding Mechanism (Canonical)</w:t>
      </w:r>
    </w:p>
    <w:p>
      <w:r>
        <w:t>Pillar 5 is funded by a 1.3 percent combined payroll contribution split as 0.8 percent employer and 0.5 percent employee. This rate calibration follows the platform's convention for the post-original-eight pillars: a small payroll contribution that aggregates to enough revenue to fund the pillar's population-scale program. The split favors the employer side because employers benefit substantially from a workforce in which childcare-driven absenteeism, partial-week work, and early-career attrition (predominantly affecting mothers) are reduced; the employer-side proportion reflects this benefit.</w:t>
      </w:r>
    </w:p>
    <w:p>
      <w:r>
        <w:t>Aggregate revenue generated: at full implementation, the one-percent combined payroll contribution generates approximately one-hundred-fifty to two-hundred-billion dollars per year, depending on covered-wage-base assumptions. Steady-state benefit cost is projected at approximately one-hundred-eighty-billion-dollars per year (with sensitivity range one-hundred-forty to two-hundred-thirty billion depending on parameters discussed in the Fiscal Analysis section below). Revenue and cost are calibrated to balance approximately on average, with cyclical surpluses cycled to a small reserve fund managed alongside the other pillar reserve funds.</w:t>
      </w:r>
    </w:p>
    <w:p>
      <w:pPr>
        <w:pStyle w:val="Heading2"/>
      </w:pPr>
      <w:r>
        <w:t>Coverage Specification</w:t>
      </w:r>
    </w:p>
    <w:p>
      <w:r>
        <w:t>Pillar 5 provides universal access to childcare from age six weeks (the standard end-of-paid-parental-leave threshold under Pillar 8 Universal Paid Family Time) through age twelve (the standard end-of-aftercare threshold in most current state aftercare program designs). Four distinct care-type categories are recognized within the universal-access architecture, reflecting genuine differences in cost structure, ratio requirements, and developmental priorities.</w:t>
      </w:r>
    </w:p>
    <w:p>
      <w:pPr>
        <w:pStyle w:val="Heading2"/>
      </w:pPr>
      <w:r>
        <w:t>Care-Type Categorization (Resolving v3.7.199 Finding 4)</w:t>
      </w:r>
    </w:p>
    <w:p>
      <w:r>
        <w:t>Infant care (six weeks to twelve months). Mandated low ratios under state-licensing frameworks (one provider per three or four infants is typical) drive the highest per-child cost in the architecture. Approximate per-child annual cost: $18,000 to $24,000 depending on metropolitan-area wage differentials. Infant-care providers require Child Development Associate credential or equivalent state-recognized certification with specific infant-care training.</w:t>
      </w:r>
    </w:p>
    <w:p>
      <w:r>
        <w:t>Toddler care (twelve months to three years). Mandated ratios are less stringent than infant care (one provider per five or six toddlers is typical) but the work remains physically and developmentally intensive. Approximate per-child annual cost: $14,000 to $18,000. Toddler-care providers require the same credential baseline as infant-care providers with toddler-specific training.</w:t>
      </w:r>
    </w:p>
    <w:p>
      <w:r>
        <w:t>Preschool (three years to kindergarten entry, typically age five). Lower mandated ratios (one provider per eight to ten preschoolers under most state frameworks) plus the introduction of structured early-learning curricula reduce per-child cost relative to younger ages. Approximate per-child annual cost: $11,000 to $14,000. Preschool-program lead teachers require an associate degree minimum in early childhood education with classroom assistants requiring CDA-equivalent credential. The pre-K coverage scope intentionally overlaps with state pre-K programs (described in the Federal-State Coordination section below) rather than replacing them.</w:t>
      </w:r>
    </w:p>
    <w:p>
      <w:r>
        <w:t>School-age aftercare (kindergarten through age twelve). Significantly different cost structure than the younger-age care types: care is required only outside school hours (typically three hours per weekday plus full-day summer and other school-closure coverage); ratios are looser (one provider per fifteen to twenty children is typical for school-age supervision); and the program emphasis is on safe supervision, homework support, and enrichment rather than on developmental milestone-tracking. Approximate per-child annual cost: $5,000 to $8,000 depending on the depth of program-enrichment design and on hours of coverage required.</w:t>
      </w:r>
    </w:p>
    <w:p>
      <w:pPr>
        <w:pStyle w:val="Heading2"/>
      </w:pPr>
      <w:r>
        <w:t>Eligibility Criteria</w:t>
      </w:r>
    </w:p>
    <w:p>
      <w:r>
        <w:t>Universal access means universal eligibility. Every U.S. resident child age six weeks through twelve is eligible for Pillar 5 coverage regardless of household income, parental employment status, parental immigration status, or geographic location. The architectural commitment to universality follows the same logic as universal healthcare access: the program is for every child, not for a subset of children defined by means-test eligibility. Means-tested programs produce systematic under-enrollment of children who would benefit (because eligibility paperwork is a barrier and because the rolls of beneficiaries become politically vulnerable in ways that universal programs are not).</w:t>
      </w:r>
    </w:p>
    <w:p>
      <w:pPr>
        <w:pStyle w:val="Heading2"/>
      </w:pPr>
      <w:r>
        <w:t>Fee Structure: Sliding-Scale vs Flat-Fee Question (Resolving Open Architectural Question)</w:t>
      </w:r>
    </w:p>
    <w:p>
      <w:r>
        <w:t>The architectural commitment is a sliding-scale fee structure tied to household income, with full subsidy for households below approximately 200 percent of the Federal Poverty Level (no out-of-pocket fee) and a sliding-scale fee scaling up to a cap of approximately seven percent of household income at higher income levels. The seven-percent cap is calibrated against the Department of Health and Human Services historical affordability threshold (HHS issued guidance in 2014 stating childcare cost above 7 percent of household income is considered unaffordable for working families); the platform's fee structure ensures no participating household pays above this affordability threshold.</w:t>
      </w:r>
    </w:p>
    <w:p>
      <w:r>
        <w:t>Rationale for sliding-scale rather than flat-fee: a flat-fee structure (every household pays the same per-child fee regardless of income) would either be too high for lower-income households (re-creating the affordability crisis the universal access architecture is designed to resolve) or too low to provide meaningful revenue (eliminating the program's ability to draw on participating-household contributions). A flat-zero-fee structure (no copay at any income level) would impose the full program cost on the payroll-contribution funding stream, requiring a higher payroll rate; the platform's choice is to balance funding sources between payroll-contribution and sliding-scale-fee revenue, similar to the design of universal healthcare access where the payroll contribution covers most of cost but copays exist at marginal rates for certain services.</w:t>
      </w:r>
    </w:p>
    <w:p>
      <w:r>
        <w:t>The sliding-scale fee revenue is approximately twenty-billion dollars per year at full implementation, supplementing the payroll-contribution revenue and reducing the required payroll rate by approximately 0.1 to 0.15 percentage points relative to a flat-zero-fee structure. Fee collection is administered through the provider (analogous to how copays are collected at the point of service in universal healthcare access architectures); providers reconcile against household income through a streamlined IRS-data-share consistent with the Pillar 4 healthcare income-data approach.</w:t>
      </w:r>
    </w:p>
    <w:p>
      <w:pPr>
        <w:pStyle w:val="Heading2"/>
      </w:pPr>
      <w:r>
        <w:t>Provider-Mix Design (Resolving Open Architectural Question)</w:t>
      </w:r>
    </w:p>
    <w:p>
      <w:r>
        <w:t>Pillar 5 supports a mixed provider ecosystem rather than a public-monopoly delivery model. Three provider categories are supported within the universal-access funding stream: licensed center-based providers (the traditional childcare-center model, public or private, nonprofit or for-profit); licensed family-based providers (in-home family childcare with smaller group sizes, often in the provider's own home); and license-exempt providers operating under defined-relationship rules (typically grandparents, other close family members, and small neighbor-care arrangements that fall below state-licensing thresholds).</w:t>
      </w:r>
    </w:p>
    <w:p>
      <w:r>
        <w:t>Funding flow to each provider category: center-based and family-based licensed providers receive Pillar 5 payments at established per-child rates calibrated against the care-type cost ranges above and against geographic wage differentials. License-exempt providers receive Pillar 5 payments at a reduced rate that reflects the lower regulatory burden and the typically lower-cost delivery model; the reduced-rate structure preserves family choice and grandparent-care arrangements (which are an important and economically significant existing pattern) while maintaining the architectural commitment that all eligible children are covered.</w:t>
      </w:r>
    </w:p>
    <w:p>
      <w:r>
        <w:t>Quality-standard enforcement architecture: Pillar 5 funding flows to providers contingent on meeting standards calibrated to provider category. Licensed center-based and family-based providers must meet state-level licensing standards (which vary across states; the federal Pillar 5 architecture does not preempt state licensing but does establish minimum federal quality standards as a floor for federal-funding eligibility). License-exempt providers meet a simpler federal eligibility test (clean background check, age-appropriate setting, defined-relationship documentation) without the licensing-burden of the center-based providers. The architectural commitment is to expand access at all provider-mix points rather than to push families into any single delivery model.</w:t>
      </w:r>
    </w:p>
    <w:p>
      <w:pPr>
        <w:pStyle w:val="Heading2"/>
      </w:pPr>
      <w:r>
        <w:t>Worker Compensation Glide Path (Resolving v3.7.199 Finding 5)</w:t>
      </w:r>
    </w:p>
    <w:p>
      <w:r>
        <w:t>Childcare workers are among the most poorly-compensated workers in the U.S. labor force. The Bureau of Labor Statistics May 2025 OEWS data report median hourly wage for childcare workers (BLS Standard Occupational Classification (SOC) 39-9011) at approximately $14.60, with the 25th percentile at $12.30 and the 10th percentile at $11.00. By comparison, kindergarten teachers in public schools (BLS SOC 25-2012) have median hourly wage approximately $34.00 — more than twice the childcare-worker median despite substantial overlap in early-learning content and similar credential requirements at the upper end of childcare-worker classifications.</w:t>
      </w:r>
    </w:p>
    <w:p>
      <w:r>
        <w:t>The Pillar 5 worker compensation glide path raises childcare-worker wages over a fifteen-year transition to the Pillar 2 (Empirical Wage Floors) occupation-specific floor calibrated against equivalent education-and-credential-bearing occupations. The end-state target: childcare workers performing developmental-care work (infant, toddler, preschool) reach approximately seventy-five percent of public-school-kindergarten-teacher compensation by end-of-transition, reflecting the genuine difference in credential requirements (kindergarten teachers in public schools require bachelor degree plus teaching license; childcare workers under Pillar 5 require associate degree plus CDA-equivalent for lead-teacher roles) while substantially closing the current wage gap. School-age aftercare workers reach approximately fifty percent of public-school-kindergarten-teacher compensation, reflecting the lower-credential supervision-and-enrichment role.</w:t>
      </w:r>
    </w:p>
    <w:p>
      <w:r>
        <w:t>Glide-path mechanics: provider-payment rates are calibrated to enable provider-side compensation increases of approximately three percentage points annually for the first ten years, declining to approximately one-and-a-half percentage points annually for the final five years. Provider audits verify that incremental provider-payment-rate increases pass through to worker compensation rather than to provider margins. The fifteen-year glide path matches the transition horizon used in Pillar 4 (Healthcare) and Pillar 9 (Universal Long-Term Care) — the long transition reflects the workforce-buildout reality that compensation increases must occur in parallel with workforce expansion rather than abruptly.</w:t>
      </w:r>
    </w:p>
    <w:p>
      <w:r>
        <w:t>Pillar 2 interaction: childcare workers as an occupational classification (BLS SOC 39-9011) have their Pillar 2 wage floor calculated from the 25th percentile of the occupation's own wage distribution per the standard Pillar 2 methodology. The Pillar 5 glide path operates above the Pillar 2 floor — Pillar 2 establishes the hard backstop below which childcare wages cannot fall; Pillar 5 raises wages substantially above the floor through provider-payment-rate calibration. The two pillars are constructive rather than duplicative: Pillar 2 protects against below-floor wages economy-wide; Pillar 5 raises occupation-specific wages where the platform's architecture specifically commits to compensation improvement.</w:t>
      </w:r>
    </w:p>
    <w:p>
      <w:pPr>
        <w:pStyle w:val="Heading1"/>
      </w:pPr>
      <w:r>
        <w:t>Pillar Five Components Summary</w:t>
      </w:r>
    </w:p>
    <w:p>
      <w:r>
        <w:t>The architecture above organizes around five components that map to specific budget lines and program-administration responsibilities. Component One: Universal Coverage Funding — provider-payment-rate flow at established per-child rates across the four care-type categories. Approximately $130 billion per year at full implementation. Component Two: Worker Compensation Glide Path — funding directly tied to provider-payment rate increases that pass through to worker compensation. Approximately $30 billion per year by end of transition. Component Three: Quality-Standard Federal Enforcement — federal staff capacity (within ACF or successor agency) to maintain federal minimum quality standards, conduct provider audits for worker-compensation pass-through, and administer license-exempt provider eligibility. Approximately $5 billion per year. Component Four: Sliding-Scale Fee Administration — IRS-data-share infrastructure, household enrollment, fee-collection reconciliation through providers. Approximately $3 billion per year. Component Five: State Pre-K Federal Match — federal match to state pre-K programs that exceed federal minimum quality standards (incentive structure described in Federal-State Coordination section). Approximately $12 billion per year.</w:t>
      </w:r>
    </w:p>
    <w:p>
      <w:pPr>
        <w:pStyle w:val="Heading1"/>
      </w:pPr>
      <w:r>
        <w:t>Transition Mechanics</w:t>
      </w:r>
    </w:p>
    <w:p>
      <w:r>
        <w:t>Transition from current state to full Pillar 5 implementation occurs over approximately fifteen years, matching the transition horizons used for Pillars 4 and 9 and reflecting the workforce buildout, provider-capacity expansion, and quality-standard-deployment realities that drive multi-year implementation.</w:t>
      </w:r>
    </w:p>
    <w:p>
      <w:r>
        <w:t>Year 1 through year 3: legislative authority established; federal program structure created (ACF Universal Childcare Office stood up with parallel state liaison structure); payroll contribution begins at one-half rate (0.5 percent combined) to begin building reserve; existing CCDF program continues for income-eligible families; sliding-scale fee structure pilot in approximately ten state-administrator partnerships. Year 4 through year 7: full payroll contribution rate (1 percent combined) takes effect; provider-payment-rate calibration begins for licensed center-based and family-based providers; first cohort of provider-payment-rate increases pass through to worker compensation (audit-verified); license-exempt provider eligibility framework operational; CCDF eligibility expanded to all families under sliding-scale fee structure. Year 8 through year 12: full provider-payment-rate calibration; state pre-K federal match operational; worker compensation glide path approximately seventy percent complete; full universal eligibility (every U.S. resident child age six weeks through twelve enrolled or eligible). Year 13 through year 15: full implementation reached; worker compensation glide path completes; full integration with Pillar 4 Universal Healthcare Access (healthcare interaction for childcare-worker workforce), Pillar 6 Universal Mental Health Access (mental health interaction for children in care and for childcare workers), and Pillar 8 (paid family time integration for childcare-worker family time).</w:t>
      </w:r>
    </w:p>
    <w:p>
      <w:r>
        <w:t>During transition, existing programs continue to operate for not-yet-covered populations. Specifically: CCDF subsidies continue for currently-eligible families during the early transition years (years 1-7); existing state pre-K programs continue with federal match introduced gradually starting year 4; the Child Tax Credit continues unchanged throughout (it is not childcare-conditional and serves a different policy purpose); the Child and Dependent Care Credit is gradually phased out as families move into the universal access program (final phase-out year 8, by which point sliding-scale-fee structure has fully replaced the tax-credit subsidy mechanism for participating families).</w:t>
      </w:r>
    </w:p>
    <w:p>
      <w:pPr>
        <w:pStyle w:val="Heading1"/>
      </w:pPr>
      <w:r>
        <w:t>Federal-State Coordination Specifics</w:t>
      </w:r>
    </w:p>
    <w:p>
      <w:r>
        <w:t>Pillar 5 establishes a federal architecture, but childcare delivery has historically been substantially state-and-local (state licensing of providers, state-level pre-K programs, local public-school district aftercare programs). The federal-state coordination model preserves state delivery and licensing roles while establishing federal funding, minimum quality standards, and program-architecture commitments.</w:t>
      </w:r>
    </w:p>
    <w:p>
      <w:r>
        <w:t>State pre-K programs continue to operate. Several states (Oklahoma, Florida, Georgia, Vermont, West Virginia, Iowa, New York City as a sub-state jurisdiction, and others) operate substantial pre-K programs that pre-date federal Pillar 5. These programs continue under Pillar 5 with federal-match funding tied to state programs meeting or exceeding federal minimum quality standards. States that operate above federal minimum standards (smaller class sizes, higher teacher credential requirements, longer hours of coverage) receive enhanced federal match; states that operate at federal minimum receive standard match; states that fall below federal minimum receive reduced match with phased compliance requirement.</w:t>
      </w:r>
    </w:p>
    <w:p>
      <w:r>
        <w:t>Provider licensing remains state. State-level licensing of center-based and family-based childcare providers continues to be the operational quality-standard enforcement mechanism. Federal Pillar 5 quality standards establish a floor that state licensing must meet (background checks, ratio requirements, square-footage requirements, curriculum requirements for developmental ages); states are free to impose additional licensing requirements. The federal floor prevents a race-to-the-bottom in states with weak licensing while preserving state policy authority to go further.</w:t>
      </w:r>
    </w:p>
    <w:p>
      <w:r>
        <w:t>Tribal nation coordination. Pillar 5 extends to federally-recognized tribal nations through government-to-government consultation per the platform's Tribal Consultation Framework. Tribal childcare programs (Bureau of Indian Education-operated childcare programs and tribal-operated programs under various federal authorities) receive direct federal-to-tribal funding bypassing state-level administration, consistent with existing federal-tribal trust obligations. Tribal nations retain authority over provider licensing, quality standards, and curriculum on tribal lands.</w:t>
      </w:r>
    </w:p>
    <w:p>
      <w:pPr>
        <w:pStyle w:val="Heading1"/>
      </w:pPr>
      <w:r>
        <w:t>Comparison with Existing Programs and International Approaches</w:t>
      </w:r>
    </w:p>
    <w:p>
      <w:pPr>
        <w:pStyle w:val="Heading2"/>
      </w:pPr>
      <w:r>
        <w:t>Comparison with the Child Care and Development Fund (CCDF)</w:t>
      </w:r>
    </w:p>
    <w:p>
      <w:r>
        <w:t>The current Child Care and Development Fund is the principal existing federal childcare-subsidy program. Annual federal appropriation in recent years has been approximately $8 billion. The program serves approximately one-in-six of eligible-by-income children due to inadequate funding levels relative to need; states administer the program with substantial discretion over reimbursement rates and eligibility income limits. Pillar 5 absorbs the CCDF program at full implementation, with the federal Universal Childcare program substantively replacing the subsidy-for-eligible-families model with a universal-access-for-all-children model. CCDF program structure during transition preserves continuity for currently-enrolled families.</w:t>
      </w:r>
    </w:p>
    <w:p>
      <w:pPr>
        <w:pStyle w:val="Heading2"/>
      </w:pPr>
      <w:r>
        <w:t>Comparison with the Child and Dependent Care Credit (CDCC)</w:t>
      </w:r>
    </w:p>
    <w:p>
      <w:r>
        <w:t>The Child and Dependent Care Credit is the principal current tax-side mechanism for childcare-cost subsidy. The credit allows working parents to claim a percentage of childcare expenses against federal income tax liability, with the percentage scaling down by income and with the maximum allowable expense capped at amounts that have not been adjusted for inflation in roughly two decades. The credit is non-refundable for most filers (limited refundability under the American Rescue Plan Act of 2021 expired with most other ARPA provisions). Annual tax expenditure approximately $4 billion. Pillar 5 reduces or eliminates the CDCC in proportion to universal-access coverage; the credit's narrow effective benefit (capped at low expense amounts, non-refundable for most filers) makes it a poor substitute for direct provider-payment universal access.</w:t>
      </w:r>
    </w:p>
    <w:p>
      <w:pPr>
        <w:pStyle w:val="Heading2"/>
      </w:pPr>
      <w:r>
        <w:t>Comparison with the Child Tax Credit (CTC)</w:t>
      </w:r>
    </w:p>
    <w:p>
      <w:r>
        <w:t>The Child Tax Credit operates differently from the CDCC: it provides per-child support to families regardless of childcare arrangements. Pillar 5 does not affect the CTC, which continues to operate as a per-child cash support independent of childcare. The two mechanisms address different policy questions (CTC addresses per-child household resources broadly; Pillar 5 addresses childcare access specifically). The CTC's expanded refundable structure under the 2021 American Rescue Plan Act (which produced measurable child-poverty reduction during its operation) is referenced in the platform's broader fiscal architecture; whether to make that expansion permanent is treated as a separate policy question outside Pillar 5's scope.</w:t>
      </w:r>
    </w:p>
    <w:p>
      <w:pPr>
        <w:pStyle w:val="Heading2"/>
      </w:pPr>
      <w:r>
        <w:t>Comparison with State Pre-K Programs</w:t>
      </w:r>
    </w:p>
    <w:p>
      <w:r>
        <w:t>Several states operate substantial pre-K programs that have produced measurable long-term outcomes. Oklahoma's program (operational since 1998) and Georgia's (since 1995) are among the longest-running universal pre-K programs in the U.S.; Florida's Voluntary Pre-Kindergarten (since 2005), Vermont's, West Virginia's, and New York City's universal pre-K (since 2014) provide additional substantial-scale examples. Per-child funding ranges from approximately $4,000 to $11,000 across these programs; quality measures (NIEER State Preschool Yearbook ratings) vary substantially. Pillar 5 preserves and federally-matches these programs as discussed in Federal-State Coordination.</w:t>
      </w:r>
    </w:p>
    <w:p>
      <w:pPr>
        <w:pStyle w:val="Heading2"/>
      </w:pPr>
      <w:r>
        <w:t>Comparison with International Universal Childcare Approaches</w:t>
      </w:r>
    </w:p>
    <w:p>
      <w:r>
        <w:t>Quebec, Canada: implemented universal childcare in 1997 with subsidized $5-per-day (later approximately $8 to $10 per day) fee structure. Outcomes documented in published literature include substantial maternal employment increase (approximately 7-8 percentage points within five years per Lefebvre and Merrigan 2008 and subsequent studies), substantial program-cost increase relative to initial projections (typical pattern in universal-access childcare expansion), and mixed long-run child outcome evidence with some studies finding negative effects in younger ages partially offset by positive effects later. Quebec's experience is the most analytically-relevant international comparison for Pillar 5 due to North American institutional similarity.</w:t>
      </w:r>
    </w:p>
    <w:p>
      <w:r>
        <w:t>Sweden: förskola program operating at near-universal access for children aged one through six since 1990s expansion, with antecedents going back several decades. Per-child cost approximately seven thousand dollars to nine thousand U.S.-equivalent dollars per year. Documented strong outcomes in subsequent educational attainment and labor-force participation; Sweden serves as the high-quality end of the international comparison range.</w:t>
      </w:r>
    </w:p>
    <w:p>
      <w:r>
        <w:t>Norway: barnehage program expanded from limited to near-universal access starting in 2003. Per-child cost approximately eight thousand to ten thousand U.S.-equivalent dollars per year. Documented strong outcomes in maternal labor force participation and child outcomes, particularly for children from less-advantaged backgrounds.</w:t>
      </w:r>
    </w:p>
    <w:p>
      <w:r>
        <w:t>France: école maternelle program operating at near-universal access for children aged three through six since 1980s; complemented by crèche program for younger children. Per-child cost approximately five thousand to nine thousand U.S.-equivalent dollars depending on age.</w:t>
      </w:r>
    </w:p>
    <w:p>
      <w:r>
        <w:t>United Kingdom: 30-hours-free childcare expansion (operational since 2017 for ages three and four, expanding to younger ages under the 2024 reform) provides a useful intermediate-design comparison; the UK approach uses hour-allotment-based universal access rather than full-day universal access.</w:t>
      </w:r>
    </w:p>
    <w:p>
      <w:pPr>
        <w:pStyle w:val="Heading1"/>
      </w:pPr>
      <w:r>
        <w:t>Workforce Considerations</w:t>
      </w:r>
    </w:p>
    <w:p>
      <w:r>
        <w:t>The Pillar 5 workforce is the binding implementation constraint, similar to how psychiatry workforce is the Pillar 6 binding constraint and direct-care-worker workforce is the Pillar 9 binding constraint. The U.S. childcare workforce as of 2024 is approximately 1.2 million workers (BLS Childcare Workers classification SOC 39-9011 plus related Preschool Teachers SOC 25-2011); full implementation of Pillar 5 universal access requires expanding this workforce by approximately seventy to ninety percent over the transition horizon.</w:t>
      </w:r>
    </w:p>
    <w:p>
      <w:r>
        <w:t>Workforce expansion strategy combines (a) compensation increases producing improved attraction and retention at existing entry points, (b) credential-pathway expansion through Pillar 3 (Sovereign Education Fund) priority access for early-childhood-education degree programs, (c) immigration of qualified workers under Pillar 12 (Immigration Architecture) workforce-visa components, and (d) explicit federal investment in apprenticeship pathways for childcare-worker training (federal Department of Labor Registered Apprenticeship programs already include childcare-worker pathways at small scale; Pillar 5 expands the funding for this pathway).</w:t>
      </w:r>
    </w:p>
    <w:p>
      <w:r>
        <w:t>Pillar 3 interaction is particularly important. Early childhood education credentials are exactly the kind of academic program that the Sovereign Education Fund's age-30-window funding architecture supports. Pillar 5 commits to providing priority access for early childhood education programs as a strategic workforce investment; the Pillar 3 funding flows to the relevant academic programs and the Pillar 5 worker pipeline expands as a result.</w:t>
      </w:r>
    </w:p>
    <w:p>
      <w:r>
        <w:t>Workers compensation integration for childcare workers. Childcare workers have above-average workplace-injury rates relative to the broader U.S. workforce, driven by repetitive lifting of children, exposure to infectious disease, and the physical demands of toddler-and-younger care. The Bureau of Labor Statistics' Survey of Occupational Injuries and Illnesses (SOII) reports nonfatal occupational injury rates for the childcare sector somewhat above the all-private-industry average. Pillar 5 architectural position on workers compensation: state workers compensation systems continue to operate as the medical-plus-wage-replacement system for childcare-worker workplace injury (consistent with Pillar 4's treatment of workers compensation as a specialized parallel system). Pillar 5 funding includes provider-payment-rate calibration that allows providers to maintain workers compensation coverage at appropriate levels; the worker compensation glide path described above includes employer-side workers compensation premium cost in the calibration. As Pillar 4's universal healthcare coverage reduces general health-coverage cost pressure on childcare providers, the workers compensation premium burden becomes the principal employer-side healthcare-related cost for the sector — creating a structural argument for Department of Labor and state workers-compensation-agency coordination on injury prevention investment in the sector. (Workers compensation integration note added in v3.7.212 via SITE-36 deferred-findings resolution.)</w:t>
      </w:r>
    </w:p>
    <w:p>
      <w:pPr>
        <w:pStyle w:val="Heading1"/>
      </w:pPr>
      <w:r>
        <w:t>Fiscal Analysis</w:t>
      </w:r>
    </w:p>
    <w:p>
      <w:r>
        <w:t>Pillar 5 aggregate fiscal commitment at full implementation: approximately $180 billion per year (the central estimate; sensitivity range $140-$230 billion). Funding sources: payroll contribution revenue approximately $173 billion per year (1.3 percent of the registered [[FIG:FIG-covered-wage-base-healthcare]] covered wage base) [RESTATED v3.8.376] this read '$169 billion... approximately $13 trillion'; the platform fixed the base at $13.3006T at v3.8.333, and the same correction was made in 05_Federal_Fiscal_Impact_Analysis at v3.8.367; sliding-scale fee revenue approximately $20 billion per year; existing federal childcare program reallocation approximately $12 billion per year (CCDF reallocation $8 billion plus phased-out CDCC tax expenditure $4 billion). Total funding: approximately $205 billion per year (payroll $173B + sliding-scale fees $20B + reallocation $12B) [RESTATED v3.8.376] from $201 billion, calibrated to balance against the $140-230 billion expenditure range.</w:t>
      </w:r>
    </w:p>
    <w:p>
      <w:r>
        <w:t>Sensitivity analysis. The fiscal commitment depends on five primary parameters: care-type mix (the per-child cost ranges differ substantially by care type, so the projected total depends on how children distribute across infant, toddler, preschool, and aftercare categories — current projections use approximately the demographic distribution of U.S. children); provider compensation glide path (faster glide path raises per-child cost over the transition horizon; the central projection uses the fifteen-year glide path described above); coverage-take-up rate (universal eligibility does not necessarily mean universal enrollment — international experience suggests approximately eighty percent take-up at full maturity, with the remaining twenty percent of families choosing non-program arrangements including parent-provided care; the central projection assumes eighty-five percent take-up reflecting the relatively high attractiveness of the universal-access architecture); fee-structure parameters (the seven-percent-of-income cap can be adjusted; lower caps reduce fee revenue but increase enrollment of moderate-income families); and macroeconomic conditions (wage-base growth affects payroll-contribution revenue).</w:t>
      </w:r>
    </w:p>
    <w:p>
      <w:r>
        <w:t>Net fiscal impact on the federal budget bottom line: approximately net-neutral at full implementation. The pillar is self-funded through the dedicated payroll contribution plus sliding-scale fees plus existing-program reallocation. Pillar 5 does not contribute to the platform's broader fiscal balance beyond self-funding (in contrast to Pillar 4 which extracts $1.7 trillion in healthcare-system savings, or Pillar 11 which generates carbon-price revenue some of which funds non-climate priorities).</w:t>
      </w:r>
    </w:p>
    <w:p>
      <w:pPr>
        <w:pStyle w:val="Heading1"/>
      </w:pPr>
      <w:r>
        <w:t>Open Issues and Limits</w:t>
      </w:r>
    </w:p>
    <w:p>
      <w:r>
        <w:t>Pillar 5 substantiation, at this v1.0 production, has the same kinds of open issues as the platform's other multi-pillar-substantiation documents, plus several specific to the childcare context. Specific items requiring credentialed external review, to be added to the Open Issues Registry as engagement targets are identified.</w:t>
      </w:r>
    </w:p>
    <w:p>
      <w:r>
        <w:t>First: early-childhood-education economics review of cost projections (does the $180 billion central estimate hold up under detailed actuarial analysis of provider-payment-rate calibration, care-type mix, take-up assumptions; how sensitive is the projection to specific care-type cost-range assumptions). Second: developmental-psychology review of care-type categorization and ratio recommendations (are the four care-type categories appropriate; are the ratio assumptions consistent with current evidence on developmental quality). Third: state pre-K policy review (does the federal-match structure preserve and strengthen state programs adequately; what is the appropriate enhanced-match calibration for states operating above federal floor). Fourth: provider economics review of mixed provider ecosystem (does the architecture preserve genuine family choice across center-based, family-based, and license-exempt providers; are the differential payment rates calibrated correctly). Fifth: childcare worker organizing and labor review (does the worker-compensation glide path interact correctly with childcare-worker unionization patterns; are the credential-pathway investments aligned with worker-development needs).</w:t>
      </w:r>
    </w:p>
    <w:p>
      <w:pPr>
        <w:pStyle w:val="Heading1"/>
      </w:pPr>
      <w:r>
        <w:t>Cross-References</w:t>
      </w:r>
    </w:p>
    <w:p>
      <w:r>
        <w:t>This document is the primary substantiation document for Pillar 5 (Universal Childcare). It complements the Pillar 5 section of 02_Vision_and_Communication/02_Adjacent_Pillars_Under_Development.docx (the prior concept-analysis-level treatment) and the 04_Mathematical_Models/04_Universal_Childcare_Model.xlsx mathematical model. The pillar's cross-references to other pillars: Pillar 2 (Empirical Wage Floors) — worker compensation glide path operates above Pillar 2 floor; Pillar 3 (Sovereign Education Fund) — priority access for early-childhood-education credentials supports workforce expansion; Pillar 4 (Universal Healthcare Access) — childcare-worker workforce receives universal healthcare coverage which is significant given the historically poor health-benefits-availability for this workforce; Pillar 6 (Universal Mental Health Access) — children in care benefit from integrated mental health screening and referral, particularly for early identification of developmental delays; Pillar 8 (Universal Paid Family Time) — the architectural age-six-weeks coverage threshold aligns with the standard end-of-paid-parental-leave threshold; Pillar 12 (Immigration Architecture) — workforce visa components support the workforce expansion necessary for full Pillar 5 implementation.</w:t>
      </w:r>
    </w:p>
    <w:p>
      <w:r>
        <w:t>The Pillar 5 dedicated substantiation document closes the SITE-36 Pillar 5 review's principal finding (v3.7.199 OIR Section 305 Finding 1). v3.7.211 production tags the change in VERSIONLOG.txt as [errata: pillar redesign] because the production of the dedicated substantiation document materially advances the architectural treatment of the pillar from concept-analysis to substantiation-level depth.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